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291" w:rsidRDefault="009A0291" w:rsidP="009A0291">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A0291" w:rsidRDefault="009A0291" w:rsidP="009A0291">
      <w:pPr>
        <w:rPr>
          <w:rFonts w:hint="eastAsia"/>
        </w:rPr>
      </w:pPr>
    </w:p>
    <w:p w:rsidR="009A0291" w:rsidRDefault="009A0291" w:rsidP="009A0291">
      <w:pPr>
        <w:rPr>
          <w:rFonts w:hint="eastAsia"/>
        </w:rPr>
      </w:pPr>
      <w:r>
        <w:rPr>
          <w:rFonts w:hint="eastAsia"/>
        </w:rPr>
        <w:t>（改正後）</w:t>
      </w:r>
    </w:p>
    <w:p w:rsidR="009A0291" w:rsidRPr="00297863" w:rsidRDefault="009A0291" w:rsidP="009A0291">
      <w:pPr>
        <w:rPr>
          <w:rFonts w:hint="eastAsia"/>
          <w:u w:val="single" w:color="FF0000"/>
        </w:rPr>
      </w:pPr>
      <w:r w:rsidRPr="00297863">
        <w:rPr>
          <w:rFonts w:hint="eastAsia"/>
          <w:u w:val="single" w:color="FF0000"/>
        </w:rPr>
        <w:t>（</w:t>
      </w:r>
      <w:r w:rsidRPr="00B31F42">
        <w:rPr>
          <w:rFonts w:hint="eastAsia"/>
          <w:u w:val="single" w:color="FF0000"/>
        </w:rPr>
        <w:t xml:space="preserve">第十七条の六の三　</w:t>
      </w:r>
      <w:r w:rsidRPr="00297863">
        <w:rPr>
          <w:rFonts w:hint="eastAsia"/>
          <w:u w:val="single" w:color="FF0000"/>
        </w:rPr>
        <w:t>削除）</w:t>
      </w:r>
    </w:p>
    <w:p w:rsidR="009A0291" w:rsidRDefault="009A0291" w:rsidP="009A0291">
      <w:pPr>
        <w:ind w:left="178" w:hangingChars="85" w:hanging="178"/>
        <w:rPr>
          <w:rFonts w:hint="eastAsia"/>
        </w:rPr>
      </w:pPr>
    </w:p>
    <w:p w:rsidR="009A0291" w:rsidRDefault="009A0291" w:rsidP="009A0291">
      <w:pPr>
        <w:ind w:left="178" w:hangingChars="85" w:hanging="178"/>
        <w:rPr>
          <w:rFonts w:hint="eastAsia"/>
        </w:rPr>
      </w:pPr>
      <w:r>
        <w:rPr>
          <w:rFonts w:hint="eastAsia"/>
        </w:rPr>
        <w:t>（改正前）</w:t>
      </w:r>
    </w:p>
    <w:p w:rsidR="009A0291" w:rsidRPr="00D06820" w:rsidRDefault="009A0291" w:rsidP="009A0291">
      <w:pPr>
        <w:ind w:leftChars="85" w:left="178"/>
      </w:pPr>
      <w:r w:rsidRPr="00D06820">
        <w:t>（金融機関の最良執行方針等に関する読替え）</w:t>
      </w:r>
    </w:p>
    <w:p w:rsidR="009A0291" w:rsidRPr="00D06820" w:rsidRDefault="009A0291" w:rsidP="009A0291">
      <w:pPr>
        <w:ind w:left="179" w:hangingChars="85" w:hanging="179"/>
      </w:pPr>
      <w:r w:rsidRPr="00D06820">
        <w:rPr>
          <w:b/>
          <w:bCs/>
        </w:rPr>
        <w:t>第十七条の六の三</w:t>
      </w:r>
      <w:r w:rsidRPr="00D06820">
        <w:t xml:space="preserve">　第十六条の二の規定は、法第六十五条の二第五項において法第四十三条の二の規定を準用する場合について準用する。この場合において、次の表の上欄に掲げる規定中同表の中欄に掲げる字句は、それぞれ同表の下欄に掲げる字句と読み替えるもの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8"/>
        <w:gridCol w:w="3036"/>
        <w:gridCol w:w="3571"/>
      </w:tblGrid>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t>第十六条の二第一項第一号</w:t>
            </w:r>
          </w:p>
        </w:tc>
        <w:tc>
          <w:tcPr>
            <w:tcW w:w="3060" w:type="dxa"/>
          </w:tcPr>
          <w:p w:rsidR="009A0291" w:rsidRPr="00D06820" w:rsidRDefault="009A0291" w:rsidP="00C541CF">
            <w:r w:rsidRPr="00D06820">
              <w:t>有価証券の売買等</w:t>
            </w:r>
          </w:p>
        </w:tc>
        <w:tc>
          <w:tcPr>
            <w:tcW w:w="3600" w:type="dxa"/>
          </w:tcPr>
          <w:p w:rsidR="009A0291" w:rsidRPr="00D06820" w:rsidRDefault="009A0291" w:rsidP="00C541CF">
            <w:r w:rsidRPr="00D06820">
              <w:t>法第六十五条第二項第一号及び第二号に掲げる有価証券の売買、同項第一号から第三号までに掲げる有価証券（当該有価証券に係る法第二条第二十一項に規定する有価証券指数を含む。第二号において同じ。）に係る有価証券指数等先物取引及び有価証券オプション取引、法第六十五条第二項第三号に掲げる有価証券に係る有価証券先物取引（外国有価証券市場におけるこれと類似の取引を含む。）並びに同号及び同項第四号に掲げる有価証券に係る同項第三号ハ及び第四号ロに定める行為</w:t>
            </w:r>
          </w:p>
        </w:tc>
      </w:tr>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t>第十六条の二第一項第一号イ</w:t>
            </w:r>
          </w:p>
        </w:tc>
        <w:tc>
          <w:tcPr>
            <w:tcW w:w="3060" w:type="dxa"/>
          </w:tcPr>
          <w:p w:rsidR="009A0291" w:rsidRPr="00D06820" w:rsidRDefault="009A0291" w:rsidP="00C541CF">
            <w:pPr>
              <w:rPr>
                <w:rFonts w:hint="eastAsia"/>
              </w:rPr>
            </w:pPr>
            <w:r w:rsidRPr="00D06820">
              <w:t>売買（有価証券先物取引及び有価証券先渡取引を除く。以下この号及び第三項において同じ。）</w:t>
            </w:r>
          </w:p>
        </w:tc>
        <w:tc>
          <w:tcPr>
            <w:tcW w:w="3600" w:type="dxa"/>
          </w:tcPr>
          <w:p w:rsidR="009A0291" w:rsidRPr="00D06820" w:rsidRDefault="009A0291" w:rsidP="00C541CF">
            <w:r w:rsidRPr="00D06820">
              <w:t>売買（法第六十五条第二項第一号及び第二号に掲げる有価証券に係るもの並びに同項第三号及び第四号に掲げる有価証券に係る同項第三号ハ及び第四号ロに定める行為に限る。以下この号及び第三項において同じ。）</w:t>
            </w:r>
          </w:p>
        </w:tc>
      </w:tr>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t>第十六条の二第一項第二号</w:t>
            </w:r>
          </w:p>
        </w:tc>
        <w:tc>
          <w:tcPr>
            <w:tcW w:w="3060" w:type="dxa"/>
          </w:tcPr>
          <w:p w:rsidR="009A0291" w:rsidRPr="00D06820" w:rsidRDefault="009A0291" w:rsidP="00C541CF">
            <w:pPr>
              <w:rPr>
                <w:rFonts w:hint="eastAsia"/>
              </w:rPr>
            </w:pPr>
            <w:r w:rsidRPr="00D06820">
              <w:t>外国市場証券先物取引</w:t>
            </w:r>
          </w:p>
        </w:tc>
        <w:tc>
          <w:tcPr>
            <w:tcW w:w="3600" w:type="dxa"/>
          </w:tcPr>
          <w:p w:rsidR="009A0291" w:rsidRPr="00D06820" w:rsidRDefault="009A0291" w:rsidP="00C541CF">
            <w:r w:rsidRPr="00D06820">
              <w:t>法第六十五条第二項第一号から第三号までに掲げる有価証券に係る外国市場証券先物取引</w:t>
            </w:r>
          </w:p>
        </w:tc>
      </w:tr>
      <w:tr w:rsidR="009A0291" w:rsidTr="00C541CF">
        <w:tblPrEx>
          <w:tblCellMar>
            <w:top w:w="0" w:type="dxa"/>
            <w:bottom w:w="0" w:type="dxa"/>
          </w:tblCellMar>
        </w:tblPrEx>
        <w:trPr>
          <w:trHeight w:val="90"/>
        </w:trPr>
        <w:tc>
          <w:tcPr>
            <w:tcW w:w="1620" w:type="dxa"/>
          </w:tcPr>
          <w:p w:rsidR="009A0291" w:rsidRPr="00D06820" w:rsidRDefault="009A0291" w:rsidP="00C541CF">
            <w:r w:rsidRPr="00D06820">
              <w:t>第十六条の二第一項第三号</w:t>
            </w:r>
          </w:p>
        </w:tc>
        <w:tc>
          <w:tcPr>
            <w:tcW w:w="3060" w:type="dxa"/>
          </w:tcPr>
          <w:p w:rsidR="009A0291" w:rsidRPr="00D06820" w:rsidRDefault="009A0291" w:rsidP="00C541CF">
            <w:r w:rsidRPr="00D06820">
              <w:t>有価証券店頭デリバティブ取引</w:t>
            </w:r>
          </w:p>
        </w:tc>
        <w:tc>
          <w:tcPr>
            <w:tcW w:w="3600" w:type="dxa"/>
          </w:tcPr>
          <w:p w:rsidR="009A0291" w:rsidRPr="00D06820" w:rsidRDefault="009A0291" w:rsidP="00C541CF">
            <w:pPr>
              <w:rPr>
                <w:rFonts w:hint="eastAsia"/>
              </w:rPr>
            </w:pPr>
            <w:r w:rsidRPr="00D06820">
              <w:t>法第六十五条第二項第五号に掲げる取引</w:t>
            </w:r>
          </w:p>
        </w:tc>
      </w:tr>
    </w:tbl>
    <w:p w:rsidR="009A0291" w:rsidRPr="00B31F42" w:rsidRDefault="009A0291" w:rsidP="009A0291">
      <w:pPr>
        <w:rPr>
          <w:rFonts w:hint="eastAsia"/>
        </w:rPr>
      </w:pPr>
    </w:p>
    <w:p w:rsidR="009A0291" w:rsidRPr="00B31F42" w:rsidRDefault="009A0291" w:rsidP="009A0291">
      <w:pPr>
        <w:rPr>
          <w:rFonts w:hint="eastAsia"/>
        </w:rPr>
      </w:pPr>
    </w:p>
    <w:p w:rsidR="009A0291" w:rsidRDefault="009A0291" w:rsidP="009A029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9A0291" w:rsidRDefault="009A0291" w:rsidP="009A029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9A0291" w:rsidRDefault="009A0291" w:rsidP="009A0291">
      <w:pPr>
        <w:rPr>
          <w:rFonts w:hint="eastAsia"/>
        </w:rPr>
      </w:pPr>
    </w:p>
    <w:p w:rsidR="009A0291" w:rsidRDefault="009A0291" w:rsidP="009A0291">
      <w:pPr>
        <w:rPr>
          <w:rFonts w:hint="eastAsia"/>
        </w:rPr>
      </w:pPr>
      <w:r>
        <w:rPr>
          <w:rFonts w:hint="eastAsia"/>
        </w:rPr>
        <w:t>（改正後）</w:t>
      </w:r>
    </w:p>
    <w:p w:rsidR="009A0291" w:rsidRPr="00D06820" w:rsidRDefault="009A0291" w:rsidP="009A0291">
      <w:pPr>
        <w:ind w:leftChars="85" w:left="178"/>
      </w:pPr>
      <w:r w:rsidRPr="00D06820">
        <w:t>（金融機関の最良執行方針等に関する読替え）</w:t>
      </w:r>
    </w:p>
    <w:p w:rsidR="009A0291" w:rsidRPr="00D06820" w:rsidRDefault="009A0291" w:rsidP="009A0291">
      <w:pPr>
        <w:ind w:left="179" w:hangingChars="85" w:hanging="179"/>
      </w:pPr>
      <w:r w:rsidRPr="00D06820">
        <w:rPr>
          <w:b/>
          <w:bCs/>
        </w:rPr>
        <w:t>第十七条の六の三</w:t>
      </w:r>
      <w:r w:rsidRPr="00D06820">
        <w:t xml:space="preserve">　第十六条の二の規定は、法第六十五条の二第五項において法第四十三条の二の規定を準用する場合について準用する。この場合において、次の表の上欄に掲げる規定中同表の中欄に掲げる字句は、それぞれ同表の下欄に掲げる字句と読み替えるもの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3060"/>
        <w:gridCol w:w="3600"/>
      </w:tblGrid>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t>第十六条の二第一項第一号</w:t>
            </w:r>
          </w:p>
        </w:tc>
        <w:tc>
          <w:tcPr>
            <w:tcW w:w="3060" w:type="dxa"/>
          </w:tcPr>
          <w:p w:rsidR="009A0291" w:rsidRPr="00D06820" w:rsidRDefault="009A0291" w:rsidP="00C541CF">
            <w:r w:rsidRPr="00D06820">
              <w:t>有価証券の売買等</w:t>
            </w:r>
          </w:p>
        </w:tc>
        <w:tc>
          <w:tcPr>
            <w:tcW w:w="3600" w:type="dxa"/>
          </w:tcPr>
          <w:p w:rsidR="009A0291" w:rsidRPr="00D06820" w:rsidRDefault="009A0291" w:rsidP="00C541CF">
            <w:r w:rsidRPr="00D06820">
              <w:t>法第六十五条第二項第一号及び第二号に掲げる有価証券の売買、同項第一号から第三号までに掲げる有価証券（当該有価証券に係る法第二条第二十一項に規定する有価証券指数を含む。第二号において同じ。）に係る有価証券指数等先物取引及び有価証券オプション取引、法第六十五条第二項第三号に掲げる有価証券に係る有価証券先物取引（外国有価証券市場におけるこれと類似の取引を含む。）並びに同号及び同項第四号に掲げる有価証券に係る同項第三号ハ及び第四号ロに定める行為</w:t>
            </w:r>
          </w:p>
        </w:tc>
      </w:tr>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t>第十六条の二第一項第一号イ</w:t>
            </w:r>
          </w:p>
        </w:tc>
        <w:tc>
          <w:tcPr>
            <w:tcW w:w="3060" w:type="dxa"/>
          </w:tcPr>
          <w:p w:rsidR="009A0291" w:rsidRPr="00D06820" w:rsidRDefault="009A0291" w:rsidP="00C541CF">
            <w:pPr>
              <w:rPr>
                <w:rFonts w:hint="eastAsia"/>
              </w:rPr>
            </w:pPr>
            <w:r w:rsidRPr="00D06820">
              <w:t>売買（有価証券先物取引及び有価証券先渡取引を除く。以下この号及び第三項において同</w:t>
            </w:r>
            <w:r w:rsidRPr="00D06820">
              <w:lastRenderedPageBreak/>
              <w:t>じ。）</w:t>
            </w:r>
          </w:p>
        </w:tc>
        <w:tc>
          <w:tcPr>
            <w:tcW w:w="3600" w:type="dxa"/>
          </w:tcPr>
          <w:p w:rsidR="009A0291" w:rsidRPr="00D06820" w:rsidRDefault="009A0291" w:rsidP="00C541CF">
            <w:r w:rsidRPr="00D06820">
              <w:lastRenderedPageBreak/>
              <w:t>売買（法第六十五条第二項第一号及び第二号に掲げる有価証券に係るもの並びに同項第三号及び第四号に掲</w:t>
            </w:r>
            <w:r w:rsidRPr="00D06820">
              <w:lastRenderedPageBreak/>
              <w:t>げる有価証券に係る同項第三号ハ及び第四号ロに定める行為に限る。以下この号及び第三項において同じ。）</w:t>
            </w:r>
          </w:p>
        </w:tc>
      </w:tr>
      <w:tr w:rsidR="009A0291" w:rsidTr="00C541CF">
        <w:tblPrEx>
          <w:tblCellMar>
            <w:top w:w="0" w:type="dxa"/>
            <w:bottom w:w="0" w:type="dxa"/>
          </w:tblCellMar>
        </w:tblPrEx>
        <w:trPr>
          <w:trHeight w:val="90"/>
        </w:trPr>
        <w:tc>
          <w:tcPr>
            <w:tcW w:w="1620" w:type="dxa"/>
          </w:tcPr>
          <w:p w:rsidR="009A0291" w:rsidRPr="00D06820" w:rsidRDefault="009A0291" w:rsidP="00C541CF">
            <w:pPr>
              <w:rPr>
                <w:rFonts w:hint="eastAsia"/>
              </w:rPr>
            </w:pPr>
            <w:r w:rsidRPr="00D06820">
              <w:lastRenderedPageBreak/>
              <w:t>第十六条の二第一項第二号</w:t>
            </w:r>
          </w:p>
        </w:tc>
        <w:tc>
          <w:tcPr>
            <w:tcW w:w="3060" w:type="dxa"/>
          </w:tcPr>
          <w:p w:rsidR="009A0291" w:rsidRPr="00D06820" w:rsidRDefault="009A0291" w:rsidP="00C541CF">
            <w:pPr>
              <w:rPr>
                <w:rFonts w:hint="eastAsia"/>
              </w:rPr>
            </w:pPr>
            <w:r w:rsidRPr="00D06820">
              <w:t>外国市場証券先物取引</w:t>
            </w:r>
          </w:p>
        </w:tc>
        <w:tc>
          <w:tcPr>
            <w:tcW w:w="3600" w:type="dxa"/>
          </w:tcPr>
          <w:p w:rsidR="009A0291" w:rsidRPr="00D06820" w:rsidRDefault="009A0291" w:rsidP="00C541CF">
            <w:r w:rsidRPr="00D06820">
              <w:t>法第六十五条第二項第一号から第三号までに掲げる有価証券に係る外国市場証券先物取引</w:t>
            </w:r>
          </w:p>
        </w:tc>
      </w:tr>
      <w:tr w:rsidR="009A0291" w:rsidTr="00C541CF">
        <w:tblPrEx>
          <w:tblCellMar>
            <w:top w:w="0" w:type="dxa"/>
            <w:bottom w:w="0" w:type="dxa"/>
          </w:tblCellMar>
        </w:tblPrEx>
        <w:trPr>
          <w:trHeight w:val="90"/>
        </w:trPr>
        <w:tc>
          <w:tcPr>
            <w:tcW w:w="1620" w:type="dxa"/>
          </w:tcPr>
          <w:p w:rsidR="009A0291" w:rsidRPr="00D06820" w:rsidRDefault="009A0291" w:rsidP="00C541CF">
            <w:r w:rsidRPr="00D06820">
              <w:t>第十六条の二第一項第三号</w:t>
            </w:r>
          </w:p>
        </w:tc>
        <w:tc>
          <w:tcPr>
            <w:tcW w:w="3060" w:type="dxa"/>
          </w:tcPr>
          <w:p w:rsidR="009A0291" w:rsidRPr="00D06820" w:rsidRDefault="009A0291" w:rsidP="00C541CF">
            <w:r w:rsidRPr="00D06820">
              <w:t>有価証券店頭デリバティブ取引</w:t>
            </w:r>
          </w:p>
        </w:tc>
        <w:tc>
          <w:tcPr>
            <w:tcW w:w="3600" w:type="dxa"/>
          </w:tcPr>
          <w:p w:rsidR="009A0291" w:rsidRPr="00D06820" w:rsidRDefault="009A0291" w:rsidP="00C541CF">
            <w:pPr>
              <w:rPr>
                <w:rFonts w:hint="eastAsia"/>
              </w:rPr>
            </w:pPr>
            <w:r w:rsidRPr="00D06820">
              <w:t>法第六十五条第二項第五号に掲げる取引</w:t>
            </w:r>
          </w:p>
        </w:tc>
      </w:tr>
    </w:tbl>
    <w:p w:rsidR="009A0291" w:rsidRPr="00A96B1F" w:rsidRDefault="009A0291" w:rsidP="009A0291">
      <w:pPr>
        <w:ind w:left="178" w:hangingChars="85" w:hanging="178"/>
        <w:rPr>
          <w:rFonts w:hint="eastAsia"/>
        </w:rPr>
      </w:pPr>
    </w:p>
    <w:p w:rsidR="009A0291" w:rsidRDefault="009A0291" w:rsidP="009A0291">
      <w:pPr>
        <w:ind w:left="178" w:hangingChars="85" w:hanging="178"/>
        <w:rPr>
          <w:rFonts w:hint="eastAsia"/>
        </w:rPr>
      </w:pPr>
      <w:r>
        <w:rPr>
          <w:rFonts w:hint="eastAsia"/>
        </w:rPr>
        <w:t>（改正前）</w:t>
      </w:r>
    </w:p>
    <w:p w:rsidR="009A0291" w:rsidRPr="00205E78" w:rsidRDefault="009A0291" w:rsidP="009A0291">
      <w:pPr>
        <w:rPr>
          <w:rFonts w:hint="eastAsia"/>
          <w:u w:val="single" w:color="FF0000"/>
        </w:rPr>
      </w:pPr>
      <w:r w:rsidRPr="00205E78">
        <w:rPr>
          <w:rFonts w:hint="eastAsia"/>
          <w:u w:val="single" w:color="FF0000"/>
        </w:rPr>
        <w:t>（新設）</w:t>
      </w:r>
    </w:p>
    <w:p w:rsidR="002503E3" w:rsidRPr="009A0291" w:rsidRDefault="002503E3" w:rsidP="009A0291">
      <w:pPr>
        <w:rPr>
          <w:rFonts w:hint="eastAsia"/>
        </w:rPr>
      </w:pPr>
    </w:p>
    <w:sectPr w:rsidR="002503E3" w:rsidRPr="009A02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25A" w:rsidRDefault="00D8125A">
      <w:r>
        <w:separator/>
      </w:r>
    </w:p>
  </w:endnote>
  <w:endnote w:type="continuationSeparator" w:id="0">
    <w:p w:rsidR="00D8125A" w:rsidRDefault="00D8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2DF" w:rsidRDefault="00FB72DF" w:rsidP="00F65D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B72DF" w:rsidRDefault="00FB72DF" w:rsidP="00290F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2DF" w:rsidRDefault="00FB72DF" w:rsidP="00F65D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56AB">
      <w:rPr>
        <w:rStyle w:val="a4"/>
        <w:noProof/>
      </w:rPr>
      <w:t>1</w:t>
    </w:r>
    <w:r>
      <w:rPr>
        <w:rStyle w:val="a4"/>
      </w:rPr>
      <w:fldChar w:fldCharType="end"/>
    </w:r>
  </w:p>
  <w:p w:rsidR="00FB72DF" w:rsidRDefault="00FB72DF" w:rsidP="00FB72DF">
    <w:pPr>
      <w:pStyle w:val="a3"/>
      <w:ind w:right="360"/>
    </w:pPr>
    <w:r>
      <w:rPr>
        <w:rFonts w:ascii="Times New Roman" w:hAnsi="Times New Roman" w:hint="eastAsia"/>
        <w:noProof/>
        <w:kern w:val="0"/>
        <w:szCs w:val="21"/>
      </w:rPr>
      <w:t xml:space="preserve">金融商品取引法施行令　</w:t>
    </w:r>
    <w:r w:rsidRPr="00FB72DF">
      <w:rPr>
        <w:rFonts w:ascii="Times New Roman" w:hAnsi="Times New Roman"/>
        <w:noProof/>
        <w:kern w:val="0"/>
        <w:szCs w:val="21"/>
      </w:rPr>
      <w:fldChar w:fldCharType="begin"/>
    </w:r>
    <w:r w:rsidRPr="00FB72D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028.doc</w:t>
    </w:r>
    <w:r w:rsidRPr="00FB72D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25A" w:rsidRDefault="00D8125A">
      <w:r>
        <w:separator/>
      </w:r>
    </w:p>
  </w:footnote>
  <w:footnote w:type="continuationSeparator" w:id="0">
    <w:p w:rsidR="00D8125A" w:rsidRDefault="00D812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3E3"/>
    <w:rsid w:val="000A2B01"/>
    <w:rsid w:val="000D1FFA"/>
    <w:rsid w:val="00124A50"/>
    <w:rsid w:val="001256AB"/>
    <w:rsid w:val="001E1C42"/>
    <w:rsid w:val="002503E3"/>
    <w:rsid w:val="00290FE0"/>
    <w:rsid w:val="002960AD"/>
    <w:rsid w:val="002A55D4"/>
    <w:rsid w:val="002C730F"/>
    <w:rsid w:val="00362A5D"/>
    <w:rsid w:val="003A2190"/>
    <w:rsid w:val="00450D69"/>
    <w:rsid w:val="004D15FF"/>
    <w:rsid w:val="00617264"/>
    <w:rsid w:val="006D5910"/>
    <w:rsid w:val="006F7A7D"/>
    <w:rsid w:val="00730EEE"/>
    <w:rsid w:val="007E0AE6"/>
    <w:rsid w:val="007E3177"/>
    <w:rsid w:val="0085365F"/>
    <w:rsid w:val="008628FD"/>
    <w:rsid w:val="008826CE"/>
    <w:rsid w:val="00882AA6"/>
    <w:rsid w:val="00935419"/>
    <w:rsid w:val="009A0291"/>
    <w:rsid w:val="009F2918"/>
    <w:rsid w:val="00BA03E0"/>
    <w:rsid w:val="00C541CF"/>
    <w:rsid w:val="00CB1A7C"/>
    <w:rsid w:val="00CC385A"/>
    <w:rsid w:val="00CD5D06"/>
    <w:rsid w:val="00CF21CD"/>
    <w:rsid w:val="00D8125A"/>
    <w:rsid w:val="00F22AD6"/>
    <w:rsid w:val="00F422AE"/>
    <w:rsid w:val="00F65D95"/>
    <w:rsid w:val="00FB72DF"/>
    <w:rsid w:val="00FD4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2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90FE0"/>
    <w:pPr>
      <w:tabs>
        <w:tab w:val="center" w:pos="4252"/>
        <w:tab w:val="right" w:pos="8504"/>
      </w:tabs>
      <w:snapToGrid w:val="0"/>
    </w:pPr>
  </w:style>
  <w:style w:type="character" w:styleId="a4">
    <w:name w:val="page number"/>
    <w:basedOn w:val="a0"/>
    <w:rsid w:val="00290FE0"/>
  </w:style>
  <w:style w:type="paragraph" w:styleId="a5">
    <w:name w:val="header"/>
    <w:basedOn w:val="a"/>
    <w:rsid w:val="00290F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Words>
  <Characters>1417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2024-08-21T05:00:00Z</dcterms:created>
  <dcterms:modified xsi:type="dcterms:W3CDTF">2024-08-21T05:00:00Z</dcterms:modified>
</cp:coreProperties>
</file>